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525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</w:rPr>
      </w:pPr>
      <w:r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  <w:bdr w:val="none" w:color="auto" w:sz="0" w:space="0"/>
          <w:shd w:val="clear" w:fill="FFFFFF"/>
        </w:rPr>
        <w:t>国家海洋局关于印发无居民海岛开发利用测量规范的通知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0"/>
          <w:szCs w:val="30"/>
          <w:bdr w:val="none" w:color="auto" w:sz="0" w:space="0"/>
          <w:shd w:val="clear" w:fill="FFFFFF"/>
        </w:rPr>
        <w:t>国海规范〔2017〕3号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沿海各省、自治区、直辖市海洋厅（局）：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为进一步加强无居民海岛开发利用管理，规范和指导无居民海岛开发利用测量工作，国家海洋局制定了《无居民海岛开发利用测量规范》。现印发给你们，请遵照执行。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自本通知发布之日起，《关于印发&lt;无居民海岛使用测量规范&gt;的通知》（国海岛字〔2011〕365号）废止。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                                                 国家海洋局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　　　                                                                 2017年1月10日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F677A"/>
    <w:rsid w:val="5C1F677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2018-06-30T05:35:00Z</dcterms:created>
  <dc:creator>FON丶噬魂</dc:creator>
  <cp:lastModifiedBy>FON丶噬魂</cp:lastModifiedBy>
  <dcterms:modified xsi:type="dcterms:W3CDTF">2018-06-30T05:36:52Z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