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_GB2312" w:hAnsi="仿宋" w:eastAsia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</w:rPr>
        <w:t>附件：</w:t>
      </w:r>
    </w:p>
    <w:p>
      <w:pPr>
        <w:jc w:val="center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批准发布的13项海洋行业标准清单</w:t>
      </w:r>
    </w:p>
    <w:tbl>
      <w:tblPr>
        <w:tblW w:w="141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2421"/>
        <w:gridCol w:w="7777"/>
        <w:gridCol w:w="2855"/>
      </w:tblGrid>
      <w:tr>
        <w:trPr>
          <w:trHeight w:val="89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序号</w:t>
            </w:r>
          </w:p>
        </w:tc>
        <w:tc>
          <w:tcPr>
            <w:tcW w:w="2421" w:type="dxa"/>
            <w:vAlign w:val="top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标准编号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标准名称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实施日期</w:t>
            </w:r>
          </w:p>
        </w:tc>
      </w:tr>
      <w:tr>
        <w:trPr>
          <w:trHeight w:val="160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1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HY/T 214-2017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/>
              </w:rPr>
              <w:t>红树林植被恢复技术指南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  <w:tr>
        <w:trPr>
          <w:trHeight w:val="292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2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HY/T 215-2017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近岸海域海洋生物多样性评价技术指南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  <w:tr>
        <w:trPr>
          <w:trHeight w:val="126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3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HY/T 216-2017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河豚毒素检测方法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  <w:tr>
        <w:trPr>
          <w:trHeight w:val="77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4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HY/T 217-2017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绿潮预报和警报发布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  <w:tr>
        <w:trPr>
          <w:trHeight w:val="77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5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HY/T 037-2017</w:t>
            </w:r>
          </w:p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/>
              </w:rPr>
              <w:t>（代替</w:t>
            </w:r>
            <w:r>
              <w:rPr>
                <w:rFonts w:ascii="仿宋" w:hAnsi="仿宋" w:eastAsia="仿宋"/>
              </w:rPr>
              <w:t>HY/T 037-1994</w:t>
            </w:r>
            <w:r>
              <w:rPr>
                <w:rFonts w:hint="eastAsia" w:ascii="仿宋" w:hAnsi="仿宋" w:eastAsia="仿宋"/>
              </w:rPr>
              <w:t>所有部分）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海洋资料浮标作业规范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  <w:tr>
        <w:trPr>
          <w:trHeight w:val="77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6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HY/T 071-20</w:t>
            </w:r>
            <w:r>
              <w:rPr>
                <w:rFonts w:hint="eastAsia" w:ascii="仿宋" w:hAnsi="仿宋" w:eastAsia="仿宋"/>
              </w:rPr>
              <w:t>17</w:t>
            </w:r>
          </w:p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/>
              </w:rPr>
              <w:t>（代替</w:t>
            </w:r>
            <w:r>
              <w:rPr>
                <w:rFonts w:ascii="仿宋" w:hAnsi="仿宋" w:eastAsia="仿宋"/>
              </w:rPr>
              <w:t>HY/T 071-2003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表层漂流浮标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  <w:tr>
        <w:trPr>
          <w:trHeight w:val="77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7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HY/T 218-2017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基于同轴缆的水下远程实时监控系统通用技术要求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  <w:tr>
        <w:trPr>
          <w:trHeight w:val="77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8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HY/T 219-2017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声学多普勒流速剖面仪数据存储格式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  <w:tr>
        <w:trPr>
          <w:trHeight w:val="77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9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HY/T 220-2017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海水淡化水源地保护区划分技术规范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  <w:tr>
        <w:trPr>
          <w:trHeight w:val="77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10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HY/T 061-2017</w:t>
            </w:r>
          </w:p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" w:hAnsi="仿宋" w:eastAsia="仿宋"/>
              </w:rPr>
              <w:t>（代替</w:t>
            </w:r>
            <w:r>
              <w:rPr>
                <w:rFonts w:ascii="仿宋" w:hAnsi="仿宋" w:eastAsia="仿宋"/>
              </w:rPr>
              <w:t>HY/T 061-2002</w:t>
            </w:r>
            <w:r>
              <w:rPr>
                <w:rFonts w:hint="eastAsia" w:ascii="仿宋" w:hAnsi="仿宋" w:eastAsia="仿宋"/>
              </w:rPr>
              <w:t>）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中空纤维微滤膜组件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  <w:tr>
        <w:trPr>
          <w:trHeight w:val="77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11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HY/T 221-2017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极地考察要素分类代码和图式图例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  <w:tr>
        <w:trPr>
          <w:trHeight w:val="77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12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HY/T 222-2017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载人潜水器潜航学员培训大纲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  <w:tr>
        <w:trPr>
          <w:trHeight w:val="77" w:hRule="atLeast"/>
          <w:jc w:val="center"/>
        </w:trPr>
        <w:tc>
          <w:tcPr>
            <w:tcW w:w="1057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13</w:t>
            </w:r>
          </w:p>
        </w:tc>
        <w:tc>
          <w:tcPr>
            <w:tcW w:w="2421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HY/T 223-2017</w:t>
            </w:r>
          </w:p>
        </w:tc>
        <w:tc>
          <w:tcPr>
            <w:tcW w:w="7777" w:type="dxa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载人潜水器潜航学员选拔要求 医学部分</w:t>
            </w:r>
          </w:p>
        </w:tc>
        <w:tc>
          <w:tcPr>
            <w:tcW w:w="2855" w:type="dxa"/>
            <w:vAlign w:val="center"/>
          </w:tcPr>
          <w:p>
            <w:pPr>
              <w:spacing w:line="280" w:lineRule="exac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color w:val="000000"/>
                <w:szCs w:val="21"/>
              </w:rPr>
              <w:t>2017年6月1日</w:t>
            </w:r>
          </w:p>
        </w:tc>
      </w:tr>
    </w:tbl>
    <w:p>
      <w:pPr>
        <w:rPr>
          <w:rFonts w:ascii="仿宋" w:hAnsi="仿宋" w:eastAsia="仿宋"/>
          <w:sz w:val="24"/>
          <w:szCs w:val="24"/>
        </w:rPr>
      </w:pPr>
    </w:p>
    <w:sectPr>
      <w:pgSz w:w="16838" w:h="11906" w:orient="landscape"/>
      <w:pgMar w:top="1797" w:right="1440" w:bottom="1797" w:left="1440" w:header="851" w:footer="992" w:gutter="0"/>
      <w:cols w:space="425" w:num="1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8">
    <w:name w:val="Default Paragraph Font"/>
  </w:style>
  <w:style w:type="paragraph" w:styleId="2">
    <w:name w:val="批注框文本"/>
    <w:basedOn w:val="1"/>
    <w:link w:val="3"/>
    <w:rPr>
      <w:rFonts w:ascii="Calibri" w:hAnsi="Calibri" w:cs="黑体"/>
      <w:kern w:val="2"/>
      <w:sz w:val="18"/>
      <w:szCs w:val="18"/>
    </w:rPr>
  </w:style>
  <w:style w:type="character" w:customStyle="1" w:styleId="3">
    <w:name w:val="批注框文本 Char"/>
    <w:link w:val="2"/>
    <w:semiHidden/>
    <w:rPr>
      <w:rFonts w:ascii="Calibri" w:hAnsi="Calibri" w:cs="黑体"/>
      <w:kern w:val="2"/>
      <w:sz w:val="18"/>
      <w:szCs w:val="18"/>
    </w:rPr>
  </w:style>
  <w:style w:type="paragraph" w:styleId="4">
    <w:name w:val="footer"/>
    <w:basedOn w:val="1"/>
    <w:link w:val="5"/>
    <w:pPr>
      <w:tabs>
        <w:tab w:val="center" w:pos="4153"/>
        <w:tab w:val="right" w:pos="8306"/>
      </w:tabs>
      <w:snapToGrid w:val="0"/>
      <w:jc w:val="left"/>
    </w:pPr>
    <w:rPr>
      <w:rFonts w:ascii="Calibri" w:hAnsi="Calibri" w:cs="黑体"/>
      <w:kern w:val="2"/>
      <w:sz w:val="18"/>
      <w:szCs w:val="18"/>
    </w:rPr>
  </w:style>
  <w:style w:type="character" w:customStyle="1" w:styleId="5">
    <w:name w:val="页脚 Char"/>
    <w:link w:val="4"/>
    <w:semiHidden/>
    <w:rPr>
      <w:rFonts w:ascii="Calibri" w:hAnsi="Calibri" w:cs="黑体"/>
      <w:kern w:val="2"/>
      <w:sz w:val="18"/>
      <w:szCs w:val="18"/>
    </w:rPr>
  </w:style>
  <w:style w:type="paragraph" w:styleId="6">
    <w:name w:val="header"/>
    <w:basedOn w:val="1"/>
    <w:link w:val="7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黑体"/>
      <w:kern w:val="2"/>
      <w:sz w:val="18"/>
      <w:szCs w:val="18"/>
    </w:rPr>
  </w:style>
  <w:style w:type="character" w:customStyle="1" w:styleId="7">
    <w:name w:val="页眉 Char"/>
    <w:link w:val="6"/>
    <w:semiHidden/>
    <w:rPr>
      <w:rFonts w:ascii="Calibri" w:hAnsi="Calibri" w:cs="黑体"/>
      <w:kern w:val="2"/>
      <w:sz w:val="18"/>
      <w:szCs w:val="18"/>
    </w:rPr>
  </w:style>
  <w:style w:type="paragraph" w:customStyle="1" w:styleId="9">
    <w:name w:val="列出段落1"/>
    <w:basedOn w:val="1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</Words>
  <Characters>666</Characters>
  <Lines>5</Lines>
  <Paragraphs>1</Paragraphs>
  <TotalTime>0</TotalTime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2017-02-22T02:37:00Z</dcterms:created>
  <dc:creator>wlh</dc:creator>
  <cp:lastModifiedBy>PC</cp:lastModifiedBy>
  <cp:lastPrinted>2017-02-15T02:39:00Z</cp:lastPrinted>
  <dcterms:modified xsi:type="dcterms:W3CDTF">2017-02-22T06:05:37Z</dcterms:modified>
  <dc:title>国家海洋局科学技术司关于报送贯彻落实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