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7"/>
          <w:szCs w:val="37"/>
        </w:rPr>
      </w:pPr>
      <w:bookmarkStart w:id="1" w:name="_GoBack"/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7"/>
          <w:szCs w:val="37"/>
          <w:bdr w:val="none" w:color="auto" w:sz="0" w:space="0"/>
          <w:shd w:val="clear" w:fill="FFFFFF"/>
        </w:rPr>
        <w:t>国家海洋局关于批准发布《海洋经济指标体系》等13项海洋行业标准的公告</w:t>
      </w:r>
    </w:p>
    <w:bookmarkEnd w:id="1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0"/>
          <w:szCs w:val="30"/>
          <w:bdr w:val="none" w:color="auto" w:sz="0" w:space="0"/>
          <w:shd w:val="clear" w:fill="FFFFFF"/>
        </w:rPr>
        <w:t>2013年第2号（总第20号）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   国家海洋局批准《海洋经济指标体系》等13项标准为推荐性海洋行业标准，现予以发布（见附件），自2014年5月1日起实施。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　　　　　　　　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　　　　　　　　　　　　　　　　　　                                                            　　　　</w:t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国家海洋局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　　　　　　　　　　　　　　　　　　　                                                          　　</w:t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2013年11月13日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</w:pPr>
      <w:r>
        <w:rPr>
          <w:rStyle w:val="4"/>
          <w:rFonts w:hint="eastAsia" w:ascii="宋体" w:hAnsi="宋体" w:eastAsia="宋体" w:cs="宋体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《海洋经济指标体系》等13项海洋行业标准</w:t>
      </w:r>
    </w:p>
    <w:tbl>
      <w:tblPr>
        <w:tblW w:w="8304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838"/>
        <w:gridCol w:w="4567"/>
        <w:gridCol w:w="1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标准编号</w:t>
            </w:r>
          </w:p>
        </w:tc>
        <w:tc>
          <w:tcPr>
            <w:tcW w:w="4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标 准 名 称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实施日期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160-2013</w:t>
            </w:r>
          </w:p>
        </w:tc>
        <w:tc>
          <w:tcPr>
            <w:tcW w:w="4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海洋经济指标体系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2014-05-01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161-2013</w:t>
            </w:r>
          </w:p>
        </w:tc>
        <w:tc>
          <w:tcPr>
            <w:tcW w:w="4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海洋经济运行监测和评估标准体系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2014-05-01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162-2013</w:t>
            </w:r>
          </w:p>
        </w:tc>
        <w:tc>
          <w:tcPr>
            <w:tcW w:w="4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海洋高技术产品分类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2014-05-01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163-2013</w:t>
            </w:r>
          </w:p>
        </w:tc>
        <w:tc>
          <w:tcPr>
            <w:tcW w:w="4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海水水处理剂分散性能的测定  分散氧化铁法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2014-05-01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164-2013</w:t>
            </w:r>
          </w:p>
        </w:tc>
        <w:tc>
          <w:tcPr>
            <w:tcW w:w="4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海岸带制图图式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2014-05-01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165-2013</w:t>
            </w:r>
          </w:p>
        </w:tc>
        <w:tc>
          <w:tcPr>
            <w:tcW w:w="4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连续膜过滤水处理装置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2014-05-01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166.1-2013</w:t>
            </w:r>
          </w:p>
        </w:tc>
        <w:tc>
          <w:tcPr>
            <w:tcW w:w="4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离子交换膜  第1部分：电驱动膜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2014-05-01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bookmarkStart w:id="0" w:name="OLE_LINK2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bdr w:val="none" w:color="auto" w:sz="0" w:space="0"/>
              </w:rPr>
              <w:t>HY/T 167-2013</w:t>
            </w:r>
            <w:bookmarkEnd w:id="0"/>
          </w:p>
        </w:tc>
        <w:tc>
          <w:tcPr>
            <w:tcW w:w="4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大生活用海水应用系统设计规范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2014-05-01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168.1-2013</w:t>
            </w:r>
          </w:p>
        </w:tc>
        <w:tc>
          <w:tcPr>
            <w:tcW w:w="4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大生活用海水后处理设计规范  第1部分：活性污泥法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2014-05-01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168.2-2013</w:t>
            </w:r>
          </w:p>
        </w:tc>
        <w:tc>
          <w:tcPr>
            <w:tcW w:w="4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大生活用海水后处理设计规范  第2部分：接触氧化法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2014-05-01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168.3-2013</w:t>
            </w:r>
          </w:p>
        </w:tc>
        <w:tc>
          <w:tcPr>
            <w:tcW w:w="4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大生活用海水后处理设计规范  第3部分：膜生物反应器法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2014-05-01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168.4-2013</w:t>
            </w:r>
          </w:p>
        </w:tc>
        <w:tc>
          <w:tcPr>
            <w:tcW w:w="4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大生活用海水后处理设计规范  第4部分：生态塘法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2014-05-01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169-2013</w:t>
            </w:r>
          </w:p>
        </w:tc>
        <w:tc>
          <w:tcPr>
            <w:tcW w:w="4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海水和卤水中溴离子的测定  容量法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2014-05-01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F5ABC"/>
    <w:rsid w:val="663F5AB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2018-07-02T02:20:00Z</dcterms:created>
  <dc:creator>FON丶噬魂</dc:creator>
  <cp:lastModifiedBy>FON丶噬魂</cp:lastModifiedBy>
  <dcterms:modified xsi:type="dcterms:W3CDTF">2018-07-02T02:22:03Z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